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REVISIONSBERÄTTELSE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Vid granskning av biljardklubben Kville BC’s räkenskaper för tiden 1/1 -15 – 31/12 -15 har vi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funnit dessa i god ordning, intäkter och kostnader är styrkta med erforderliga verifikationer,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den kontanta kassan, behållningen på bank och postgiro har kontrollerats och vid årsredovisningen har föreningens värdehandlingar uppvisats.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Mot förvaltningen och föreningens verksamhet i övrigt enligt förda protokoll finns enligt vår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mening inte anledning till anmärkning, varför vi föreslår avgående styrelse ansvarsfrihet för den tid som revisionen omfattar.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Göteborg den 7/2-2016                                                       </w:t>
        <w:tab/>
        <w:t xml:space="preserve">Göteborg den 7/2-2016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Mats Frösemo</w:t>
      </w:r>
      <w:r w:rsidDel="00000000" w:rsidR="00000000" w:rsidRPr="00000000">
        <w:rPr>
          <w:rtl w:val="0"/>
        </w:rPr>
        <w:t xml:space="preserve">                    </w:t>
        <w:tab/>
        <w:t xml:space="preserve">                                                                    </w:t>
        <w:tab/>
        <w:t xml:space="preserve">Andreas Björndal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Mats Frösemo                                                                                                           </w:t>
        <w:tab/>
        <w:t xml:space="preserve">Andreas Björndal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